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686 от 27.03.2026</w:t>
      </w:r>
    </w:p>
    <w:p w:rsidR="00831F32" w:rsidRDefault="00831F32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61AD7" w:rsidRDefault="00361AD7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61AD7">
        <w:rPr>
          <w:rFonts w:ascii="Times New Roman" w:hAnsi="Times New Roman"/>
          <w:b/>
          <w:sz w:val="28"/>
          <w:szCs w:val="28"/>
          <w:lang w:val="kk-KZ"/>
        </w:rPr>
        <w:t xml:space="preserve">2026 жылға арналған </w:t>
      </w:r>
    </w:p>
    <w:p w:rsidR="00361AD7" w:rsidRDefault="00361AD7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61AD7">
        <w:rPr>
          <w:rFonts w:ascii="Times New Roman" w:hAnsi="Times New Roman"/>
          <w:b/>
          <w:sz w:val="28"/>
          <w:szCs w:val="28"/>
          <w:lang w:val="kk-KZ"/>
        </w:rPr>
        <w:t xml:space="preserve">мектеп оқушыларының </w:t>
      </w:r>
    </w:p>
    <w:p w:rsidR="00361AD7" w:rsidRDefault="00361AD7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61AD7">
        <w:rPr>
          <w:rFonts w:ascii="Times New Roman" w:hAnsi="Times New Roman"/>
          <w:b/>
          <w:sz w:val="28"/>
          <w:szCs w:val="28"/>
          <w:lang w:val="kk-KZ"/>
        </w:rPr>
        <w:t xml:space="preserve">үлгілік мәзірінің құнын және </w:t>
      </w:r>
    </w:p>
    <w:p w:rsidR="00361AD7" w:rsidRDefault="00361AD7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61AD7">
        <w:rPr>
          <w:rFonts w:ascii="Times New Roman" w:hAnsi="Times New Roman"/>
          <w:b/>
          <w:sz w:val="28"/>
          <w:szCs w:val="28"/>
          <w:lang w:val="kk-KZ"/>
        </w:rPr>
        <w:t xml:space="preserve">орта білім беру мекемелеріндегі </w:t>
      </w:r>
    </w:p>
    <w:p w:rsidR="00361AD7" w:rsidRDefault="00361AD7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61AD7">
        <w:rPr>
          <w:rFonts w:ascii="Times New Roman" w:hAnsi="Times New Roman"/>
          <w:b/>
          <w:sz w:val="28"/>
          <w:szCs w:val="28"/>
          <w:lang w:val="kk-KZ"/>
        </w:rPr>
        <w:t xml:space="preserve">оқушылар үшін ыстық тамақ </w:t>
      </w:r>
    </w:p>
    <w:p w:rsidR="00831F32" w:rsidRDefault="00361AD7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61AD7">
        <w:rPr>
          <w:rFonts w:ascii="Times New Roman" w:hAnsi="Times New Roman"/>
          <w:b/>
          <w:sz w:val="28"/>
          <w:szCs w:val="28"/>
          <w:lang w:val="kk-KZ"/>
        </w:rPr>
        <w:t>ұйымдастыруды бекіту туралы</w:t>
      </w:r>
    </w:p>
    <w:p w:rsidR="00831F32" w:rsidRDefault="00831F32" w:rsidP="00831F3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center" w:tblpY="-2675"/>
        <w:tblW w:w="10885" w:type="dxa"/>
        <w:tblLook w:val="01E0" w:firstRow="1" w:lastRow="1" w:firstColumn="1" w:lastColumn="1" w:noHBand="0" w:noVBand="0"/>
      </w:tblPr>
      <w:tblGrid>
        <w:gridCol w:w="10663"/>
        <w:gridCol w:w="222"/>
      </w:tblGrid>
      <w:tr w:rsidR="00831F32" w:rsidTr="003D4423">
        <w:trPr>
          <w:trHeight w:val="1988"/>
        </w:trPr>
        <w:tc>
          <w:tcPr>
            <w:tcW w:w="10663" w:type="dxa"/>
            <w:hideMark/>
          </w:tcPr>
          <w:tbl>
            <w:tblPr>
              <w:tblpPr w:leftFromText="180" w:rightFromText="180" w:bottomFromText="200" w:vertAnchor="text" w:horzAnchor="margin" w:tblpXSpec="center" w:tblpY="-2675"/>
              <w:tblW w:w="10447" w:type="dxa"/>
              <w:tblLook w:val="01E0" w:firstRow="1" w:lastRow="1" w:firstColumn="1" w:lastColumn="1" w:noHBand="0" w:noVBand="0"/>
            </w:tblPr>
            <w:tblGrid>
              <w:gridCol w:w="3733"/>
              <w:gridCol w:w="392"/>
              <w:gridCol w:w="1077"/>
              <w:gridCol w:w="909"/>
              <w:gridCol w:w="410"/>
              <w:gridCol w:w="3882"/>
              <w:gridCol w:w="44"/>
            </w:tblGrid>
            <w:tr w:rsidR="00831F32">
              <w:trPr>
                <w:gridAfter w:val="1"/>
                <w:wAfter w:w="44" w:type="dxa"/>
                <w:trHeight w:val="1988"/>
              </w:trPr>
              <w:tc>
                <w:tcPr>
                  <w:tcW w:w="4125" w:type="dxa"/>
                  <w:gridSpan w:val="2"/>
                </w:tcPr>
                <w:p w:rsidR="00831F32" w:rsidRDefault="00831F32" w:rsidP="00F020F7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</w:pPr>
                </w:p>
                <w:p w:rsidR="00831F32" w:rsidRDefault="00831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  <w:t>«АСТАНА  ҚАЛАСЫНЫҢ БІЛІМ БАСҚАРМАСЫ» МЕМЛЕКЕТТІК МЕКЕМЕСІ</w:t>
                  </w:r>
                </w:p>
                <w:p w:rsidR="00831F32" w:rsidRDefault="00831F32">
                  <w:pPr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sz w:val="23"/>
                      <w:szCs w:val="23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ge">
                              <wp:posOffset>1221740</wp:posOffset>
                            </wp:positionV>
                            <wp:extent cx="6505575" cy="9525"/>
                            <wp:effectExtent l="0" t="0" r="28575" b="28575"/>
                            <wp:wrapNone/>
                            <wp:docPr id="3" name="Поли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505575" cy="9525"/>
                                    </a:xfrm>
                                    <a:custGeom>
                                      <a:avLst/>
                                      <a:gdLst>
                                        <a:gd name="T0" fmla="*/ 0 w 10245"/>
                                        <a:gd name="T1" fmla="*/ 0 h 15"/>
                                        <a:gd name="T2" fmla="*/ 6505575 w 10245"/>
                                        <a:gd name="T3" fmla="*/ 9525 h 15"/>
                                        <a:gd name="T4" fmla="*/ 0 60000 65536"/>
                                        <a:gd name="T5" fmla="*/ 0 60000 65536"/>
                                      </a:gdLst>
                                      <a:ahLst/>
                                      <a:cxnLst>
                                        <a:cxn ang="T4">
                                          <a:pos x="T0" y="T1"/>
                                        </a:cxn>
                                        <a:cxn ang="T5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0245" h="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245" y="1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5875">
                                      <a:solidFill>
                                        <a:srgbClr val="3333C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6C8C7525" id="Поли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3.6pt,96.2pt,515.85pt,96.9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" filled="f" strokecolor="#33c" strokeweight="1.25pt">
                            <v:path arrowok="t" o:connecttype="custom" o:connectlocs="0,0;2147483646,6048375" o:connectangles="0,0"/>
                            <w10:wrap anchory="page"/>
                          </v:polyline>
                        </w:pict>
                      </mc:Fallback>
                    </mc:AlternateContent>
                  </w:r>
                </w:p>
              </w:tc>
              <w:tc>
                <w:tcPr>
                  <w:tcW w:w="1986" w:type="dxa"/>
                  <w:gridSpan w:val="2"/>
                  <w:hideMark/>
                </w:tcPr>
                <w:p w:rsidR="00831F32" w:rsidRDefault="00831F32">
                  <w:pPr>
                    <w:spacing w:after="0" w:line="240" w:lineRule="auto"/>
                    <w:rPr>
                      <w:rFonts w:ascii="Times New Roman" w:hAnsi="Times New Roman"/>
                      <w:color w:val="548DD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114425" cy="1171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92" w:type="dxa"/>
                  <w:gridSpan w:val="2"/>
                </w:tcPr>
                <w:p w:rsidR="00831F32" w:rsidRDefault="00831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548DD4"/>
                      <w:sz w:val="20"/>
                      <w:szCs w:val="20"/>
                      <w:lang w:val="kk-KZ"/>
                    </w:rPr>
                  </w:pPr>
                </w:p>
                <w:p w:rsidR="00831F32" w:rsidRDefault="00831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</w:pPr>
                </w:p>
                <w:p w:rsidR="00831F32" w:rsidRDefault="00831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  <w:t>ГОСУДАРСТВЕННОЕ УЧРЕЖДЕНИЕ «УПРАВЛЕНИЕ ОБРАЗОВАНИЯ ГОРОДА  АСТАНЫ »</w:t>
                  </w:r>
                </w:p>
                <w:p w:rsidR="00831F32" w:rsidRDefault="00831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31F32">
              <w:tc>
                <w:tcPr>
                  <w:tcW w:w="5202" w:type="dxa"/>
                  <w:gridSpan w:val="3"/>
                </w:tcPr>
                <w:p w:rsidR="00831F32" w:rsidRDefault="00831F32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rPr>
                      <w:rFonts w:ascii="Times New Roman" w:hAnsi="Times New Roman"/>
                      <w:color w:val="548DD4"/>
                      <w:sz w:val="12"/>
                      <w:szCs w:val="12"/>
                    </w:rPr>
                  </w:pPr>
                </w:p>
              </w:tc>
              <w:tc>
                <w:tcPr>
                  <w:tcW w:w="5245" w:type="dxa"/>
                  <w:gridSpan w:val="4"/>
                </w:tcPr>
                <w:p w:rsidR="00831F32" w:rsidRDefault="00831F32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rPr>
                      <w:rFonts w:ascii="Times New Roman" w:hAnsi="Times New Roman"/>
                      <w:color w:val="548DD4"/>
                      <w:sz w:val="12"/>
                      <w:szCs w:val="12"/>
                    </w:rPr>
                  </w:pPr>
                </w:p>
              </w:tc>
            </w:tr>
            <w:tr w:rsidR="00831F32">
              <w:tc>
                <w:tcPr>
                  <w:tcW w:w="3733" w:type="dxa"/>
                </w:tcPr>
                <w:p w:rsidR="00831F32" w:rsidRDefault="00831F32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  <w:t>БҰЙРЫҚ</w:t>
                  </w:r>
                </w:p>
                <w:p w:rsidR="00831F32" w:rsidRDefault="00831F32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  <w:gridSpan w:val="4"/>
                </w:tcPr>
                <w:p w:rsidR="00831F32" w:rsidRDefault="00831F32">
                  <w:pPr>
                    <w:spacing w:after="0" w:line="240" w:lineRule="auto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  <w:p w:rsidR="00831F32" w:rsidRDefault="00831F32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</w:tc>
              <w:tc>
                <w:tcPr>
                  <w:tcW w:w="3926" w:type="dxa"/>
                  <w:gridSpan w:val="2"/>
                </w:tcPr>
                <w:p w:rsidR="00831F32" w:rsidRDefault="00831F32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  <w:t>ПРИКАЗ</w:t>
                  </w:r>
                </w:p>
                <w:p w:rsidR="00831F32" w:rsidRDefault="00831F32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</w:tc>
            </w:tr>
          </w:tbl>
          <w:p w:rsidR="00831F32" w:rsidRDefault="00831F32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548DD4"/>
                <w:sz w:val="23"/>
                <w:szCs w:val="23"/>
                <w:lang w:val="kk-KZ"/>
              </w:rPr>
            </w:pPr>
          </w:p>
        </w:tc>
        <w:tc>
          <w:tcPr>
            <w:tcW w:w="222" w:type="dxa"/>
          </w:tcPr>
          <w:p w:rsidR="00831F32" w:rsidRDefault="00831F32">
            <w:pPr>
              <w:spacing w:after="0" w:line="240" w:lineRule="auto"/>
              <w:rPr>
                <w:rFonts w:ascii="Times New Roman" w:hAnsi="Times New Roman"/>
                <w:color w:val="548DD4"/>
                <w:lang w:val="kk-KZ"/>
              </w:rPr>
            </w:pPr>
          </w:p>
        </w:tc>
      </w:tr>
    </w:tbl>
    <w:p w:rsidR="003D4423" w:rsidRPr="00584FFA" w:rsidRDefault="003D4423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43-бабы 2-тармағының 11)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тармақшасын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, 48-бабы 6-тармағын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2008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№ 64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қаулысымен</w:t>
      </w:r>
      <w:proofErr w:type="spellEnd"/>
      <w:r w:rsid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FF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584FFA">
        <w:rPr>
          <w:rFonts w:ascii="Times New Roman" w:hAnsi="Times New Roman" w:cs="Times New Roman"/>
          <w:sz w:val="28"/>
          <w:szCs w:val="28"/>
        </w:rPr>
        <w:t xml:space="preserve"> </w:t>
      </w:r>
      <w:r w:rsidR="00584FFA">
        <w:rPr>
          <w:rFonts w:ascii="Times New Roman" w:hAnsi="Times New Roman" w:cs="Times New Roman"/>
          <w:sz w:val="28"/>
          <w:szCs w:val="28"/>
          <w:lang w:val="kk-KZ"/>
        </w:rPr>
        <w:t>Қ</w:t>
      </w:r>
      <w:bookmarkStart w:id="0" w:name="_GoBack"/>
      <w:bookmarkEnd w:id="0"/>
      <w:proofErr w:type="spellStart"/>
      <w:r w:rsidRPr="00584FFA">
        <w:rPr>
          <w:rFonts w:ascii="Times New Roman" w:hAnsi="Times New Roman" w:cs="Times New Roman"/>
          <w:sz w:val="28"/>
          <w:szCs w:val="28"/>
        </w:rPr>
        <w:t>аржылық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бағыттау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, ҚР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№ 598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8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84FFA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FFA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FFA">
        <w:rPr>
          <w:rFonts w:ascii="Times New Roman" w:hAnsi="Times New Roman" w:cs="Times New Roman"/>
          <w:sz w:val="28"/>
          <w:szCs w:val="28"/>
        </w:rPr>
        <w:t>С</w:t>
      </w:r>
      <w:r w:rsidRPr="00584FFA">
        <w:rPr>
          <w:rFonts w:ascii="Times New Roman" w:hAnsi="Times New Roman" w:cs="Times New Roman"/>
          <w:sz w:val="28"/>
          <w:szCs w:val="28"/>
        </w:rPr>
        <w:t>тандартының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3-тарауының 64, 66-тармақтарын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№ ҚР ДСМ-302/2020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r w:rsidRPr="00584FFA">
        <w:rPr>
          <w:rFonts w:ascii="Times New Roman" w:hAnsi="Times New Roman" w:cs="Times New Roman"/>
          <w:b/>
          <w:sz w:val="28"/>
          <w:szCs w:val="28"/>
        </w:rPr>
        <w:t>БҰЙЫРАМЫН:</w:t>
      </w:r>
    </w:p>
    <w:p w:rsidR="003D4423" w:rsidRPr="00584FFA" w:rsidRDefault="00361AD7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FFA">
        <w:rPr>
          <w:rFonts w:ascii="Times New Roman" w:hAnsi="Times New Roman" w:cs="Times New Roman"/>
          <w:sz w:val="28"/>
          <w:szCs w:val="28"/>
        </w:rPr>
        <w:t>1.</w:t>
      </w:r>
      <w:r w:rsidR="003D4423" w:rsidRPr="00584FFA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бұйрыққа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сәуірден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Астана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наурыздағы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мәзіріне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алушылары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тамақпен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етілсін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>.</w:t>
      </w:r>
    </w:p>
    <w:p w:rsidR="003D4423" w:rsidRPr="00584FFA" w:rsidRDefault="00361AD7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FF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реттік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тамақтың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мәзіріне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бекітілсін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>:</w:t>
      </w:r>
    </w:p>
    <w:p w:rsidR="003D4423" w:rsidRPr="00584FFA" w:rsidRDefault="003D4423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FFA">
        <w:rPr>
          <w:rFonts w:ascii="Times New Roman" w:hAnsi="Times New Roman" w:cs="Times New Roman"/>
          <w:sz w:val="28"/>
          <w:szCs w:val="28"/>
        </w:rPr>
        <w:t xml:space="preserve">- 1-4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- 887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(ҚҚС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1029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>);</w:t>
      </w:r>
    </w:p>
    <w:p w:rsidR="003D4423" w:rsidRPr="00584FFA" w:rsidRDefault="003D4423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FFA">
        <w:rPr>
          <w:rFonts w:ascii="Times New Roman" w:hAnsi="Times New Roman" w:cs="Times New Roman"/>
          <w:sz w:val="28"/>
          <w:szCs w:val="28"/>
        </w:rPr>
        <w:t xml:space="preserve">- 5-9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- 971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(ҚҚС-мен 1127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>);</w:t>
      </w:r>
    </w:p>
    <w:p w:rsidR="003D4423" w:rsidRPr="00584FFA" w:rsidRDefault="003D4423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FFA">
        <w:rPr>
          <w:rFonts w:ascii="Times New Roman" w:hAnsi="Times New Roman" w:cs="Times New Roman"/>
          <w:sz w:val="28"/>
          <w:szCs w:val="28"/>
        </w:rPr>
        <w:t xml:space="preserve">- 10-11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- 1033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 xml:space="preserve"> (ҚҚС-мен 1199 </w:t>
      </w:r>
      <w:proofErr w:type="spellStart"/>
      <w:r w:rsidRPr="00584FFA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584FFA">
        <w:rPr>
          <w:rFonts w:ascii="Times New Roman" w:hAnsi="Times New Roman" w:cs="Times New Roman"/>
          <w:sz w:val="28"/>
          <w:szCs w:val="28"/>
        </w:rPr>
        <w:t>).</w:t>
      </w:r>
    </w:p>
    <w:p w:rsidR="003D4423" w:rsidRPr="00584FFA" w:rsidRDefault="00361AD7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FFA">
        <w:rPr>
          <w:rFonts w:ascii="Times New Roman" w:hAnsi="Times New Roman" w:cs="Times New Roman"/>
          <w:sz w:val="28"/>
          <w:szCs w:val="28"/>
        </w:rPr>
        <w:t>3.</w:t>
      </w:r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сәуірге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жеткізушілермен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шарттарға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толықтыруларға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қойсын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тіркесін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>.</w:t>
      </w:r>
    </w:p>
    <w:p w:rsidR="003D4423" w:rsidRPr="003D4423" w:rsidRDefault="00361AD7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FFA">
        <w:rPr>
          <w:rFonts w:ascii="Times New Roman" w:hAnsi="Times New Roman" w:cs="Times New Roman"/>
          <w:sz w:val="28"/>
          <w:szCs w:val="28"/>
        </w:rPr>
        <w:t>4.</w:t>
      </w:r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әмиян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аппараттық-бағдарламалық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кешен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="003D4423" w:rsidRPr="0058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584FFA">
        <w:rPr>
          <w:rFonts w:ascii="Times New Roman" w:hAnsi="Times New Roman" w:cs="Times New Roman"/>
          <w:sz w:val="28"/>
          <w:szCs w:val="28"/>
        </w:rPr>
        <w:t>тамақтануды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lastRenderedPageBreak/>
        <w:t>алған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бекітсін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>.</w:t>
      </w:r>
    </w:p>
    <w:p w:rsidR="003D4423" w:rsidRDefault="00361AD7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0F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423" w:rsidRPr="003D442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бұйрықтың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Астана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Б.Мұсаханға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23" w:rsidRPr="003D4423">
        <w:rPr>
          <w:rFonts w:ascii="Times New Roman" w:hAnsi="Times New Roman" w:cs="Times New Roman"/>
          <w:sz w:val="28"/>
          <w:szCs w:val="28"/>
        </w:rPr>
        <w:t>жүктелсін</w:t>
      </w:r>
      <w:proofErr w:type="spellEnd"/>
      <w:r w:rsidR="003D4423" w:rsidRPr="003D4423">
        <w:rPr>
          <w:rFonts w:ascii="Times New Roman" w:hAnsi="Times New Roman" w:cs="Times New Roman"/>
          <w:sz w:val="28"/>
          <w:szCs w:val="28"/>
        </w:rPr>
        <w:t>.</w:t>
      </w:r>
    </w:p>
    <w:p w:rsidR="00361AD7" w:rsidRDefault="00361AD7" w:rsidP="0036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AD7" w:rsidRPr="003D4423" w:rsidRDefault="00361AD7" w:rsidP="00F02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C1B" w:rsidRPr="000826AA" w:rsidRDefault="00D13C1B" w:rsidP="00D13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>Басшы</w:t>
      </w: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82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Қ. Сенғазыев</w:t>
      </w:r>
    </w:p>
    <w:p w:rsidR="00D13C1B" w:rsidRPr="000826AA" w:rsidRDefault="00D13C1B" w:rsidP="00D13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D13C1B" w:rsidRDefault="00D13C1B" w:rsidP="00D13C1B">
      <w:pPr>
        <w:rPr>
          <w:lang w:val="kk-KZ"/>
        </w:rPr>
      </w:pPr>
    </w:p>
    <w:p w:rsidR="008D632F" w:rsidRDefault="008D632F" w:rsidP="00D13C1B">
      <w:pPr>
        <w:rPr>
          <w:lang w:val="kk-KZ"/>
        </w:rPr>
      </w:pPr>
    </w:p>
    <w:p w:rsidR="008D632F" w:rsidRDefault="008D632F" w:rsidP="00D13C1B">
      <w:pPr>
        <w:rPr>
          <w:lang w:val="kk-KZ"/>
        </w:rPr>
      </w:pPr>
    </w:p>
    <w:p w:rsidR="008D632F" w:rsidRDefault="008D632F" w:rsidP="00D13C1B">
      <w:pPr>
        <w:rPr>
          <w:lang w:val="kk-KZ"/>
        </w:rPr>
      </w:pPr>
    </w:p>
    <w:p w:rsidR="008D632F" w:rsidRDefault="008D632F" w:rsidP="00D13C1B">
      <w:pPr>
        <w:rPr>
          <w:lang w:val="kk-KZ"/>
        </w:rPr>
      </w:pPr>
    </w:p>
    <w:p w:rsidR="008D632F" w:rsidRDefault="008D632F" w:rsidP="00D13C1B">
      <w:pPr>
        <w:rPr>
          <w:lang w:val="kk-KZ"/>
        </w:rPr>
      </w:pPr>
    </w:p>
    <w:p w:rsidR="008D632F" w:rsidRDefault="008D632F" w:rsidP="00D13C1B">
      <w:pPr>
        <w:rPr>
          <w:lang w:val="kk-KZ"/>
        </w:rPr>
      </w:pPr>
    </w:p>
    <w:p w:rsidR="008D632F" w:rsidRDefault="008D632F" w:rsidP="00D13C1B">
      <w:pPr>
        <w:rPr>
          <w:lang w:val="kk-KZ"/>
        </w:rPr>
      </w:pPr>
    </w:p>
    <w:p w:rsidR="00D13C1B" w:rsidRPr="005C702E" w:rsidRDefault="00D13C1B" w:rsidP="00D13C1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844D0">
        <w:rPr>
          <w:rStyle w:val="ezkurwreuab5ozgtqnkl"/>
          <w:sz w:val="20"/>
          <w:szCs w:val="20"/>
        </w:rPr>
        <w:t>о</w:t>
      </w:r>
      <w:r w:rsidRPr="00B844D0">
        <w:rPr>
          <w:rStyle w:val="ezkurwreuab5ozgtqnkl"/>
          <w:sz w:val="20"/>
          <w:szCs w:val="20"/>
          <w:lang w:val="kk-KZ"/>
        </w:rPr>
        <w:t>рын</w:t>
      </w:r>
      <w:r>
        <w:rPr>
          <w:rStyle w:val="ezkurwreuab5ozgtqnkl"/>
          <w:sz w:val="20"/>
          <w:szCs w:val="20"/>
          <w:lang w:val="kk-KZ"/>
        </w:rPr>
        <w:t>д</w:t>
      </w:r>
      <w:r w:rsidRPr="00B844D0">
        <w:rPr>
          <w:rStyle w:val="ezkurwreuab5ozgtqnkl"/>
          <w:sz w:val="20"/>
          <w:szCs w:val="20"/>
        </w:rPr>
        <w:t>:</w:t>
      </w:r>
      <w:r w:rsidRPr="00B844D0">
        <w:rPr>
          <w:sz w:val="20"/>
          <w:szCs w:val="20"/>
        </w:rPr>
        <w:t xml:space="preserve"> </w:t>
      </w:r>
      <w:r>
        <w:rPr>
          <w:sz w:val="20"/>
          <w:szCs w:val="20"/>
        </w:rPr>
        <w:t>А. Ибрагимова</w:t>
      </w:r>
    </w:p>
    <w:p w:rsidR="00D13C1B" w:rsidRDefault="00D13C1B" w:rsidP="00D13C1B">
      <w:pPr>
        <w:pStyle w:val="a3"/>
        <w:spacing w:before="0" w:beforeAutospacing="0" w:after="0" w:afterAutospacing="0"/>
        <w:jc w:val="both"/>
        <w:rPr>
          <w:rStyle w:val="ezkurwreuab5ozgtqnkl"/>
          <w:sz w:val="20"/>
          <w:szCs w:val="20"/>
        </w:rPr>
      </w:pPr>
      <w:r w:rsidRPr="00B844D0">
        <w:rPr>
          <w:rStyle w:val="ezkurwreuab5ozgtqnkl"/>
          <w:sz w:val="20"/>
          <w:szCs w:val="20"/>
          <w:lang w:val="kk-KZ"/>
        </w:rPr>
        <w:t>т</w:t>
      </w:r>
      <w:r w:rsidRPr="00B844D0">
        <w:rPr>
          <w:rStyle w:val="ezkurwreuab5ozgtqnkl"/>
          <w:sz w:val="20"/>
          <w:szCs w:val="20"/>
        </w:rPr>
        <w:t>ел</w:t>
      </w:r>
      <w:r w:rsidRPr="00B844D0">
        <w:rPr>
          <w:sz w:val="20"/>
          <w:szCs w:val="20"/>
        </w:rPr>
        <w:t>.</w:t>
      </w:r>
      <w:r w:rsidRPr="00B844D0">
        <w:rPr>
          <w:rStyle w:val="ezkurwreuab5ozgtqnkl"/>
          <w:sz w:val="20"/>
          <w:szCs w:val="20"/>
        </w:rPr>
        <w:t>:</w:t>
      </w:r>
      <w:r w:rsidRPr="00B844D0">
        <w:rPr>
          <w:sz w:val="20"/>
          <w:szCs w:val="20"/>
        </w:rPr>
        <w:t xml:space="preserve"> </w:t>
      </w:r>
      <w:r w:rsidRPr="00B844D0">
        <w:rPr>
          <w:rStyle w:val="ezkurwreuab5ozgtqnkl"/>
          <w:sz w:val="20"/>
          <w:szCs w:val="20"/>
        </w:rPr>
        <w:t>55</w:t>
      </w:r>
      <w:r w:rsidRPr="00B844D0">
        <w:rPr>
          <w:sz w:val="20"/>
          <w:szCs w:val="20"/>
        </w:rPr>
        <w:t xml:space="preserve"> </w:t>
      </w:r>
      <w:r w:rsidRPr="00B844D0">
        <w:rPr>
          <w:rStyle w:val="ezkurwreuab5ozgtqnkl"/>
          <w:sz w:val="20"/>
          <w:szCs w:val="20"/>
        </w:rPr>
        <w:t>69</w:t>
      </w:r>
      <w:r w:rsidRPr="00B844D0">
        <w:rPr>
          <w:sz w:val="20"/>
          <w:szCs w:val="20"/>
        </w:rPr>
        <w:t xml:space="preserve"> </w:t>
      </w:r>
      <w:r w:rsidRPr="00B844D0">
        <w:rPr>
          <w:rStyle w:val="ezkurwreuab5ozgtqnkl"/>
          <w:sz w:val="20"/>
          <w:szCs w:val="20"/>
        </w:rPr>
        <w:t>20</w:t>
      </w:r>
    </w:p>
    <w:p w:rsidR="00D13C1B" w:rsidRDefault="00D13C1B" w:rsidP="00D13C1B">
      <w:pPr>
        <w:pStyle w:val="a3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0"/>
          <w:szCs w:val="20"/>
          <w:lang w:val="en-US"/>
        </w:rPr>
        <w:t>e</w:t>
      </w:r>
      <w:r w:rsidRPr="00DC5BD9">
        <w:rPr>
          <w:i/>
          <w:iCs/>
          <w:color w:val="000000"/>
          <w:sz w:val="20"/>
          <w:szCs w:val="20"/>
        </w:rPr>
        <w:t>-</w:t>
      </w:r>
      <w:r>
        <w:rPr>
          <w:i/>
          <w:iCs/>
          <w:color w:val="000000"/>
          <w:sz w:val="20"/>
          <w:szCs w:val="20"/>
          <w:lang w:val="en-US"/>
        </w:rPr>
        <w:t>mail</w:t>
      </w:r>
      <w:r>
        <w:rPr>
          <w:i/>
          <w:iCs/>
          <w:color w:val="0563C1"/>
          <w:sz w:val="20"/>
          <w:szCs w:val="20"/>
          <w:u w:val="single"/>
        </w:rPr>
        <w:t>:</w:t>
      </w:r>
      <w:proofErr w:type="spellStart"/>
      <w:r w:rsidRPr="00467341">
        <w:rPr>
          <w:i/>
          <w:iCs/>
          <w:color w:val="0563C1"/>
          <w:sz w:val="20"/>
          <w:szCs w:val="20"/>
          <w:u w:val="single"/>
        </w:rPr>
        <w:t>aigerim.ibragimova</w:t>
      </w:r>
      <w:proofErr w:type="spellEnd"/>
      <w:r w:rsidRPr="00467341">
        <w:rPr>
          <w:i/>
          <w:iCs/>
          <w:color w:val="0563C1"/>
          <w:sz w:val="20"/>
          <w:szCs w:val="20"/>
          <w:u w:val="single"/>
        </w:rPr>
        <w:t>@</w:t>
      </w:r>
      <w:proofErr w:type="spellStart"/>
      <w:r>
        <w:rPr>
          <w:i/>
          <w:iCs/>
          <w:color w:val="0563C1"/>
          <w:sz w:val="20"/>
          <w:szCs w:val="20"/>
          <w:u w:val="single"/>
          <w:lang w:val="en-US"/>
        </w:rPr>
        <w:t>astana</w:t>
      </w:r>
      <w:proofErr w:type="spellEnd"/>
      <w:r w:rsidRPr="00467341">
        <w:rPr>
          <w:i/>
          <w:iCs/>
          <w:color w:val="0563C1"/>
          <w:sz w:val="20"/>
          <w:szCs w:val="20"/>
          <w:u w:val="single"/>
        </w:rPr>
        <w:t>.</w:t>
      </w:r>
      <w:proofErr w:type="spellStart"/>
      <w:r>
        <w:rPr>
          <w:i/>
          <w:iCs/>
          <w:color w:val="0563C1"/>
          <w:sz w:val="20"/>
          <w:szCs w:val="20"/>
          <w:u w:val="single"/>
          <w:lang w:val="en-US"/>
        </w:rPr>
        <w:t>kz</w:t>
      </w:r>
      <w:proofErr w:type="spellEnd"/>
      <w:proofErr w:type="gramEnd"/>
    </w:p>
    <w:p w:rsidR="0035759D" w:rsidRPr="003D4423" w:rsidRDefault="0035759D" w:rsidP="00D13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59D" w:rsidRPr="003D4423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27.03.2026 14:14 Ибрагимова Айгерим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27.03.2026 14:33 Сенгазыев Касымхан Сенгазыулы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ОРД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686 от 27.03.2026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ГОРОДА АСТАНЫ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ИБРАГИМОВА А.А. (ГЛАВНЫЙ СПЕЦИАЛИСТ)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Ибрагимова Айгерим Аманжоловна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14:14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образования города Астаны"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СЕНГАЗЫЕВ КАСЫМХАН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MIIQ/AYJ...Wa78Y7mY=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14:33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образования города Астаны"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АРГЫНБЕКОВА БАЛЫМ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MIIRCAYJ...JOUTmjfM=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14:40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образования города Астаны"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МУСАХАН БЕКАРЫС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MIIQ5AYJ...L7Mz+RbM=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14:22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27.03.2026 14:42.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Ибрагимова Айгерим Аманжоловна 27.03.2026 14:4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61"/>
    <w:rsid w:val="002C58EE"/>
    <w:rsid w:val="0035759D"/>
    <w:rsid w:val="00361AD7"/>
    <w:rsid w:val="003D4423"/>
    <w:rsid w:val="00584FFA"/>
    <w:rsid w:val="005E2461"/>
    <w:rsid w:val="00831F32"/>
    <w:rsid w:val="008D632F"/>
    <w:rsid w:val="00AC7459"/>
    <w:rsid w:val="00D13C1B"/>
    <w:rsid w:val="00F0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61FB"/>
  <w15:chartTrackingRefBased/>
  <w15:docId w15:val="{A330DEFC-4042-4F43-9CE7-87EEC317CD8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D13C1B"/>
  </w:style>
  <w:style w:type="paragraph" w:styleId="a4">
    <w:name w:val="Balloon Text"/>
    <w:basedOn w:val="a"/>
    <w:link w:val="a5"/>
    <w:uiPriority w:val="99"/>
    <w:semiHidden/>
    <w:unhideWhenUsed/>
    <w:rsid w:val="0058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89" Type="http://schemas.openxmlformats.org/officeDocument/2006/relationships/image" Target="media/image989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Косыбаева</dc:creator>
  <cp:keywords/>
  <dc:description/>
  <cp:lastModifiedBy>Алтынай Косыбаева</cp:lastModifiedBy>
  <cp:revision>9</cp:revision>
  <cp:lastPrinted>2026-03-27T08:19:00Z</cp:lastPrinted>
  <dcterms:created xsi:type="dcterms:W3CDTF">2026-03-27T07:52:00Z</dcterms:created>
  <dcterms:modified xsi:type="dcterms:W3CDTF">2026-03-27T08:19:00Z</dcterms:modified>
</cp:coreProperties>
</file>